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0" w:type="dxa"/>
        <w:tblLook w:val="04A0" w:firstRow="1" w:lastRow="0" w:firstColumn="1" w:lastColumn="0" w:noHBand="0" w:noVBand="1"/>
      </w:tblPr>
      <w:tblGrid>
        <w:gridCol w:w="7000"/>
        <w:gridCol w:w="3180"/>
      </w:tblGrid>
      <w:tr w:rsidR="00DB22F0" w:rsidRPr="00DB22F0" w14:paraId="3D43E46F" w14:textId="77777777" w:rsidTr="00DB22F0">
        <w:trPr>
          <w:trHeight w:val="465"/>
        </w:trPr>
        <w:tc>
          <w:tcPr>
            <w:tcW w:w="10180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vAlign w:val="bottom"/>
            <w:hideMark/>
          </w:tcPr>
          <w:p w14:paraId="63012060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DZ"/>
                <w14:ligatures w14:val="none"/>
              </w:rPr>
            </w:pPr>
            <w:r w:rsidRPr="00DB22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DZ"/>
                <w14:ligatures w14:val="none"/>
              </w:rPr>
              <w:t>PROGRAMME DE FORMATION MSJ SERVICES MAI 2024</w:t>
            </w:r>
          </w:p>
        </w:tc>
      </w:tr>
      <w:tr w:rsidR="00DB22F0" w:rsidRPr="00DB22F0" w14:paraId="5F78C80F" w14:textId="77777777" w:rsidTr="00DB22F0">
        <w:trPr>
          <w:trHeight w:val="585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bottom"/>
            <w:hideMark/>
          </w:tcPr>
          <w:p w14:paraId="709F3CD4" w14:textId="77777777" w:rsidR="00DB22F0" w:rsidRPr="00DB22F0" w:rsidRDefault="00DB22F0" w:rsidP="00DB22F0">
            <w:pPr>
              <w:spacing w:after="0" w:line="240" w:lineRule="auto"/>
              <w:ind w:firstLineChars="100" w:firstLine="221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fr-DZ"/>
                <w14:ligatures w14:val="none"/>
              </w:rPr>
              <w:t>Nom de la formation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bottom"/>
            <w:hideMark/>
          </w:tcPr>
          <w:p w14:paraId="27ED8E4C" w14:textId="77777777" w:rsidR="00DB22F0" w:rsidRPr="00DB22F0" w:rsidRDefault="00DB22F0" w:rsidP="00DB22F0">
            <w:pPr>
              <w:spacing w:after="0" w:line="240" w:lineRule="auto"/>
              <w:ind w:firstLineChars="100" w:firstLine="221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fr-DZ"/>
                <w14:ligatures w14:val="none"/>
              </w:rPr>
              <w:t>Durée</w:t>
            </w:r>
          </w:p>
        </w:tc>
      </w:tr>
      <w:tr w:rsidR="00DB22F0" w:rsidRPr="00DB22F0" w14:paraId="4F349606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79FC81C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bonnes pratiques de sous-traitance pharmaceutique : de l’appel d’offre au suivi des activités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7CC99CA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14DA0700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2F6C5480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études de stabilité des produits pharmaceutiques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9F270B0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06597392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B4B5688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désinfectants : approche méthodologique d’évaluation et de validation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443567A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4D0C48EB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30B35512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Évaluer la conformité BPF du site audité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AD373BF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7E408E4A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6B5633D0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Soyez pragmatiques dans la mise en </w:t>
            </w:r>
            <w:proofErr w:type="spell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oeuvre</w:t>
            </w:r>
            <w:proofErr w:type="spell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 de vos systèmes qualité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50EA799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50C222E1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D9FBACD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Qualifier vos équipements de production pharmaceutique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3CDFF26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469ADCFD" w14:textId="77777777" w:rsidTr="00DB22F0">
        <w:trPr>
          <w:trHeight w:val="99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42C0F5EB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La Maîtrise Statistique des Procédés (MSP) : une méthode pour démontrer la robustesse des procédés et pour améliorer leur performance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FA70C96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7EF537FF" w14:textId="77777777" w:rsidTr="00DB22F0">
        <w:trPr>
          <w:trHeight w:val="99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3E1CB18C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Démontrer la maîtrise de l’environnement microbiologique des ZAC par la mise en place d’analyses de tendance quantitatives et qualitatives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DD42751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5B5B3945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0722F4B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Évaluer la compatibilité contenant - contenu des produits pharmaceutiques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78D1B40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23DBF19A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5B0EFCC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Utiliser l’analyse de risque pour optimiser vos contrôles microbiologiques en ZAC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FEC35E1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09A81655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7D053F9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« </w:t>
            </w:r>
            <w:proofErr w:type="spell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Quality</w:t>
            </w:r>
            <w:proofErr w:type="spell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 agreement » : comment mettre en place et assurer un suivi efficace d’un contrat qualité ?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1E3245AF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723BDB8C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06D607F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Évaluer la conformité BPF des laboratoires de contrôle : les points clés à examiner pour un audit réussi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F1BA2A8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3AAC7981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D6285DD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Savoir transmettre des consignes claires et réduire les erreurs humaines et les non conformités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7B660CD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69680AA0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5BE2C53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OOT : gestion et suivi des résultats hors tendance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BB71330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4EE340E3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76C956F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Actualisez vos connaissances sur les dernières évolutions des BPF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BADA015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0E54BD46" w14:textId="77777777" w:rsidTr="00DB22F0">
        <w:trPr>
          <w:trHeight w:val="75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F3D16A8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Une journée pour tout changer au laboratoire de contrôle qualité : comment optimiser l’organisation pour gagner en efficacité ?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59B3532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1977A2C3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63EDCE71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bases de la mise en place et du suivi des indicateurs de performance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35159EBE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4B27141A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1DABCE1C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Choix des indicateurs qualité et pilotage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30ED5A5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409F3843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53AF845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Mettre en place le test d’efficacité de la conservation </w:t>
            </w:r>
            <w:proofErr w:type="spell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anti-microbienne</w:t>
            </w:r>
            <w:proofErr w:type="spell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 (Challenge-test)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32534C34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2D4D3057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373E4638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lastRenderedPageBreak/>
              <w:t>Comprendre la place de l’essai de stérilité dans le contrôle microbiologique d’un produit stérile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B18B10D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1F3CE2F2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54453C0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Auditer l’intégrité des données dans un environnement </w:t>
            </w:r>
            <w:proofErr w:type="spell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GxP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294D8D92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35F9F93F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DDB2DA2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Construire et utiliser des indicateurs et tableaux de bord qualité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C72AA3E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19CD5684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1DBAEDE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Savoir réaliser un audit des procédés aseptiques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3D05156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6F243E66" w14:textId="77777777" w:rsidTr="00DB22F0">
        <w:trPr>
          <w:trHeight w:val="84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57CCC9C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études de stabilité post commerciales pour les produits pharmaceutiques : exigences, mise en œuvre et optimisation des protocoles d’étude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FC26186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1DA5B00A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C7ABE66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La filtration stérilisante des produits pharmaceutiques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BE725E5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140C01D4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85F2E32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La gestion des changements et la maîtrise des risques associés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67C27B3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743DBE60" w14:textId="77777777" w:rsidTr="00DB22F0">
        <w:trPr>
          <w:trHeight w:val="9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BAEE8F9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Qualification et validation du nettoyage des laveurs / sécheurs de verrerie de laboratoire dans les industries pharmaceutiques et cosmétiques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02C72D1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42C9602A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FBD4BDA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Auditeurs : perfectionnez votre technique d’audit et adoptez le bon comportement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1C13E874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769C2694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427B03AC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produits pour essais cliniques et l’application des BPF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448C437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3167F1CC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F80E93C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L'annexe 1 révisée des GMP européennes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F808B2B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0E22DA83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BB3FEA4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Analyse de risques appliquée aux systèmes informatisés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33CCA1F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7AEA5F43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A257F7F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Conception et revue des dossiers de lot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3B9915E9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3F82F610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C558275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Maîtriser l’évolution de la réglementation du dispositif médical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77A7262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477E3BE7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1E26A333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Actualités et évolutions de la réglementation européenne en développement clinique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B4F97C5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DB22F0" w:rsidRPr="00DB22F0" w14:paraId="1EF3E3B0" w14:textId="77777777" w:rsidTr="00DB22F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0CCF6DE" w14:textId="77777777" w:rsidR="00DB22F0" w:rsidRPr="00DB22F0" w:rsidRDefault="00DB22F0" w:rsidP="00DB22F0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Maîtriser la qualité au laboratoire d’analyse et de contrôle : comment mettre en œuvre les bonnes pratiques ?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2277657" w14:textId="77777777" w:rsidR="00DB22F0" w:rsidRPr="00DB22F0" w:rsidRDefault="00DB22F0" w:rsidP="00DB22F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DB22F0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</w:tbl>
    <w:p w14:paraId="7111A74E" w14:textId="77777777" w:rsidR="004B032D" w:rsidRDefault="004B032D"/>
    <w:sectPr w:rsidR="004B03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D22C" w14:textId="77777777" w:rsidR="004B4426" w:rsidRDefault="004B4426" w:rsidP="002676BB">
      <w:pPr>
        <w:spacing w:after="0" w:line="240" w:lineRule="auto"/>
      </w:pPr>
      <w:r>
        <w:separator/>
      </w:r>
    </w:p>
  </w:endnote>
  <w:endnote w:type="continuationSeparator" w:id="0">
    <w:p w14:paraId="1895B64A" w14:textId="77777777" w:rsidR="004B4426" w:rsidRDefault="004B4426" w:rsidP="0026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E51A" w14:textId="77777777" w:rsidR="004B4426" w:rsidRDefault="004B4426" w:rsidP="002676BB">
      <w:pPr>
        <w:spacing w:after="0" w:line="240" w:lineRule="auto"/>
      </w:pPr>
      <w:r>
        <w:separator/>
      </w:r>
    </w:p>
  </w:footnote>
  <w:footnote w:type="continuationSeparator" w:id="0">
    <w:p w14:paraId="5D119E38" w14:textId="77777777" w:rsidR="004B4426" w:rsidRDefault="004B4426" w:rsidP="0026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0140" w14:textId="581950D0" w:rsidR="002676BB" w:rsidRDefault="002676BB">
    <w:pPr>
      <w:pStyle w:val="En-tte"/>
    </w:pPr>
    <w:r>
      <w:rPr>
        <w:noProof/>
      </w:rPr>
      <w:drawing>
        <wp:inline distT="0" distB="0" distL="0" distR="0" wp14:anchorId="5E3E2A88" wp14:editId="1A48FD64">
          <wp:extent cx="1950444" cy="431800"/>
          <wp:effectExtent l="0" t="0" r="0" b="635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017" cy="433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2D"/>
    <w:rsid w:val="002676BB"/>
    <w:rsid w:val="004B032D"/>
    <w:rsid w:val="004B4426"/>
    <w:rsid w:val="00DB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6B59C-C7DE-472E-9263-9490EEEB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6BB"/>
  </w:style>
  <w:style w:type="paragraph" w:styleId="Pieddepage">
    <w:name w:val="footer"/>
    <w:basedOn w:val="Normal"/>
    <w:link w:val="PieddepageCar"/>
    <w:uiPriority w:val="99"/>
    <w:unhideWhenUsed/>
    <w:rsid w:val="0026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7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2024-01-15T15:22:00Z</dcterms:created>
  <dcterms:modified xsi:type="dcterms:W3CDTF">2024-01-15T15:41:00Z</dcterms:modified>
</cp:coreProperties>
</file>