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Look w:val="04A0" w:firstRow="1" w:lastRow="0" w:firstColumn="1" w:lastColumn="0" w:noHBand="0" w:noVBand="1"/>
      </w:tblPr>
      <w:tblGrid>
        <w:gridCol w:w="6586"/>
        <w:gridCol w:w="3420"/>
      </w:tblGrid>
      <w:tr w:rsidR="00346CF4" w:rsidRPr="00346CF4" w14:paraId="67853A2D" w14:textId="77777777" w:rsidTr="00346CF4">
        <w:trPr>
          <w:trHeight w:val="465"/>
        </w:trPr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7EA0" w14:textId="57E460A4" w:rsidR="00346CF4" w:rsidRPr="00346CF4" w:rsidRDefault="00346CF4" w:rsidP="0034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D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346CF4" w:rsidRPr="00346CF4" w14:paraId="60CDE499" w14:textId="77777777">
              <w:trPr>
                <w:trHeight w:val="465"/>
                <w:tblCellSpacing w:w="0" w:type="dxa"/>
              </w:trPr>
              <w:tc>
                <w:tcPr>
                  <w:tcW w:w="9760" w:type="dxa"/>
                  <w:tcBorders>
                    <w:top w:val="single" w:sz="4" w:space="0" w:color="00B050"/>
                    <w:left w:val="single" w:sz="4" w:space="0" w:color="00B050"/>
                    <w:bottom w:val="single" w:sz="4" w:space="0" w:color="00B050"/>
                    <w:right w:val="single" w:sz="4" w:space="0" w:color="00B050"/>
                  </w:tcBorders>
                  <w:shd w:val="clear" w:color="auto" w:fill="auto"/>
                  <w:noWrap/>
                  <w:vAlign w:val="bottom"/>
                  <w:hideMark/>
                </w:tcPr>
                <w:p w14:paraId="4EEC783F" w14:textId="77777777" w:rsidR="00346CF4" w:rsidRPr="00346CF4" w:rsidRDefault="00346CF4" w:rsidP="00346CF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fr-DZ"/>
                      <w14:ligatures w14:val="none"/>
                    </w:rPr>
                  </w:pPr>
                  <w:r w:rsidRPr="00346C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fr-DZ"/>
                      <w14:ligatures w14:val="none"/>
                    </w:rPr>
                    <w:t>PROGRAMME DE FORMATION MSJ SERVICES JUIN 2024</w:t>
                  </w:r>
                </w:p>
              </w:tc>
            </w:tr>
          </w:tbl>
          <w:p w14:paraId="55C7A802" w14:textId="77777777" w:rsidR="00346CF4" w:rsidRPr="00346CF4" w:rsidRDefault="00346CF4" w:rsidP="00346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DZ"/>
                <w14:ligatures w14:val="none"/>
              </w:rPr>
            </w:pPr>
          </w:p>
        </w:tc>
      </w:tr>
      <w:tr w:rsidR="00346CF4" w:rsidRPr="00346CF4" w14:paraId="14DFFBDD" w14:textId="77777777" w:rsidTr="00346CF4">
        <w:trPr>
          <w:trHeight w:val="525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bottom"/>
            <w:hideMark/>
          </w:tcPr>
          <w:p w14:paraId="7D15CE4C" w14:textId="77777777" w:rsidR="00346CF4" w:rsidRPr="00346CF4" w:rsidRDefault="00346CF4" w:rsidP="00346CF4">
            <w:pPr>
              <w:spacing w:after="0" w:line="240" w:lineRule="auto"/>
              <w:ind w:firstLineChars="100" w:firstLine="221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  <w:t>Nom de la formation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bottom"/>
            <w:hideMark/>
          </w:tcPr>
          <w:p w14:paraId="489846C6" w14:textId="77777777" w:rsidR="00346CF4" w:rsidRPr="00346CF4" w:rsidRDefault="00346CF4" w:rsidP="00346CF4">
            <w:pPr>
              <w:spacing w:after="0" w:line="240" w:lineRule="auto"/>
              <w:ind w:firstLineChars="100" w:firstLine="221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lang w:eastAsia="fr-DZ"/>
                <w14:ligatures w14:val="none"/>
              </w:rPr>
              <w:t>Durée</w:t>
            </w:r>
          </w:p>
        </w:tc>
      </w:tr>
      <w:tr w:rsidR="00346CF4" w:rsidRPr="00346CF4" w14:paraId="408FBC6C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FCE1045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 management d’un essai clinique : organisation et méthodologie pour un management réussi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F530FBE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3D28475E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53C5140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techniques d’extraction dans la préparation des échantillons en analyse physico-chimique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605F22B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1E3B575E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D46C2A1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L’audit interne et ses techniques dans les industries pharmaceutiques et apparentées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2EA58064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06DD85B0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5937F39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Maîtriser le dossier technique pour le Marquage CE d'un dispositif médical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68491E2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0F446512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B5E6AB4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Maîtrise des risques chimiques : connaissances et outils pratiques pour une gestion du risque au poste de travail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0307D50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45F5C193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DE61285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bonnes pratiques de laboratoire : comprendre les exigences et savoir les appliquer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E614DE3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25068553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0100284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Réaliser la revue périodique des installations et des équipements ou comment démontrer le maintien du statut qualifié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13D3AD4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55B12076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6358C07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microbiologie dans les industries pharmaceutiques et apparentées : principaux aspects et méthodes de contrôle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F499A4B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3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5BDF584B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7373A51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L’établissement des spécifications d’un produit pharmaceutique et leurs évolutions au cours du développement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CC4FB08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2336FB96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24B0ECA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contrôles d’environnement en salle propre : contrôles physiques et microbiologiques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483112F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3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714808BE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F5E7639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suspensions pharmaceutiques : principes généraux et points clés de la formulation et de la fabrication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5EA1C2F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5B2F1A03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38460C6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Mettre en </w:t>
            </w:r>
            <w:proofErr w:type="spell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oeuvre</w:t>
            </w:r>
            <w:proofErr w:type="spell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la matériovigilance et le suivi après commercialisation de vos dispositifs médicaux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8818098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2D4425D6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905DA47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Fabricants de substances actives pharmaceutiques : comment vous mettre en conformité avec la partie II des BPF européennes (guide ICH Q7) et réussir vos inspections ?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093B2EE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3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4D75E431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A6C4043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Maîtrise des risques liés à la fabrication des médicaments stériles : comment augmenter votre niveau d’assurance de stérilité ?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5EA02B0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12F24C51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EC005DD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Spécificités réglementaires des médicaments biologiques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7ADD5DC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4BF066B4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4666869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gestion des risques des dispositifs médicaux selon la norme NF EN ISO 14971 : 2019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7C06BB3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0B44025E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0A0D577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La validation des méthodes en </w:t>
            </w:r>
            <w:proofErr w:type="spell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bioanalyse</w:t>
            </w:r>
            <w:proofErr w:type="spellEnd"/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52A1A6A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2216C451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B1B89EB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Maîtriser l'aptitude à l’utilisation et l'ergonomie des dispositifs médicaux selon la norme NF EN 62366-1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A86D7EE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6112AE29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E761ED5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lastRenderedPageBreak/>
              <w:t>Identifications bactériennes et fongiques : les différentes méthodes d’identification et leurs applications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489AF30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392F9FDD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4B04020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21 CFR Part 11 et Annexe 11 des GMP européennes : différences et similitudes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898CE50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4BB690E8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314C217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Introduction au développement galénique d’un médicament : étude des différentes phases depuis la </w:t>
            </w:r>
            <w:proofErr w:type="spell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préformulation</w:t>
            </w:r>
            <w:proofErr w:type="spell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jusqu’à la transposition industrielle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E66E044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2F71BA06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5E1E607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essais de dissolution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6427AE7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5751F1CF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8FA444F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L’analyse PK/PD expliquée sans les mathématiques : intérêt et applications dans le développement de médicament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41B5327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112E8FB0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DB668BD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excipients pharmaceutiques : utilisation et réglementation des excipients dans les médicaments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9DD12FE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446672C9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24B1E9E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Comportement et gestuelle en ZAC : pour une meilleure maîtrise de la contamination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6E25868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749927EA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94E5D2A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 dossier de demande d’AMM d’un médicament générique : savoir préparer un dossier conforme à la réglementation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E58ED6C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3AB32DCA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29D3A7D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 développement analytique dans l’industrie pharmaceutique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4D99843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52A85826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6F063FF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Concevoir des procédures et des documents visuels et pragmatiques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F38D74C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36288D09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F4A85F8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 développement pharmaceutique des formes injectables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9023E9C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318D1ADC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CB76C1C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Robustesse des méthodes analytiques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3BB3FD8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2D979AEE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D4C3827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toxicologie : place et rôle dans le développement pharmaceutique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012D58F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3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6A596208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C1F56FB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Former le personnel de façon dynamique et efficace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958AFB4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0FB9C767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212BE5A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Suivi analytique des systèmes de production d’eau à usage pharmaceutique : analyses physico-chimiques et microbiologiques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241D3653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242BE7CB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5237C34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Sécuriser la chaîne du froid des médicaments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D60C32A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5ECEC923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3681FCD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Savoir choisir et bien utiliser les phases mobiles en HPLC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C98D923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0AF88CD5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E07311C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Questions réglementaires et pratiques sur le module 3 du CTD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4F3E081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786CD00B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C3F844B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 monitoring des essais cliniques : méthodologies et outils pratiques pour les attachés de recherche clinique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2BC324F0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408E33B4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176336E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Analyse des médicaments issus des biotechnologies et de thérapie innovante : du développement des méthodes au contrôle qualité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E9FB923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06F78793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2A626A61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Introduction à la pharmacocinétique et au métabolisme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C97CF47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5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192C8FA7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118CF64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lastRenderedPageBreak/>
              <w:t>L’analyse par LC/MS (/MS)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FD929FD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4.5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7D45936C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D8FAABF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Assumer la responsabilité pharmaceutique sur un site exploitant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B963A40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742D5916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1357EE8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Comprendre et mettre en œuvre les exigences de la norme ISO 13485 : 2016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C52810B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731191A4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ABF95E2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gaz pharmaceutiques : du prélèvement au suivi analytique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2E5C05C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755F2512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40D231D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ICH Q10 - Système Qualité Pharmaceutique : comprendre sa structure et ses recommandations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708BD9F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31980674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E1E191A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Risques biologiques et règles de biosécurité au laboratoire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3B5D422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088E4E90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03C4B69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L’analyse de risques appliquée aux projets de validation dans les industries pharmaceutiques et apparentées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425C8A0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43BDC48C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66892C6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Problèmes et anomalies rencontrés lors des opérations de prélèvement : identification, résolution et prévention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4D39312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26A9F5C4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22A12BD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gestion du nettoyage et de la désinfection des locaux à contamination contrôlée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31DBB60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624CF47A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1463A44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Utilisation des tests statistiques dans le contexte pharmaceutique : applications en production, en contrôle, en validation et en qualité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E364048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088ED431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D4BE2DB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Transposition d’échelle en production pharmaceutique : organisation et outils pour réussir votre transposition d’échelle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34AD309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2BE49E21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6A6F200F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Maîtriser les techniques de préparation des échantillons biologiques avant analyse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42DCB7F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3821C8DB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C932D67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Traitement statistique des données des études de stabilité : exercices pratiques sur des études de cas concrets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541CB52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500BAAFF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32338A7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Organiser une simulation de rappel de lots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9410FE5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01BF2B2A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AABCB48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Mettre en œuvre la méthode HACCP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BA27068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2F9267F0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DE79485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Analyse statistique et interprétation des résultats d’essais de dissolution : exercices pratiques sur des études de cas concrets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83976E1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41C914CF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EAA1FA2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Mieux, plus vite et moins cher : le « Lean management » dans un environnement GMP : comment réduire les temps de cycle de vos activités ?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F8C3B3A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05F471BB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A302309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Bonnes Pratiques au Laboratoire de Microbiologie dans les industries de santé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03BD084F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1073BD44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DBBBACD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Établir des relations constructives avec ses collaborateurs : mieux communiquer en équipe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5F9EFDC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04E81180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330945F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Chromatographie en phase gazeuse : module expert - Les dernières avancées de la chromatographie en phase gazeuse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39B8E2F8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0299879D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5F400F7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BPF cosmétiques selon la norme ISO 22716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CD5D6AE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7086A1F2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6F44091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lastRenderedPageBreak/>
              <w:t>Les postes de travail protégés : postes à flux laminaires et postes de sécurité microbiologique - connaissances et bonnes pratiques pour une meilleure exploitation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35DCCCC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694D256E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7FFBA38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L’</w:t>
            </w:r>
            <w:proofErr w:type="spell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immunoanalyse</w:t>
            </w:r>
            <w:proofErr w:type="spell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et ses applications en R&amp;D : principes, développement des méthodes et validation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897F98C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2C84E1F5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4FA1E84B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Rédiger des protocoles et des rapports clairs et synthétiques dans un environnement BPF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1595E57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7B045FF7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5F5F5"/>
            <w:vAlign w:val="center"/>
            <w:hideMark/>
          </w:tcPr>
          <w:p w14:paraId="00DD503F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bonnes pratiques de fabrication appliquées aux produits issus des biotechnologies : les exigences et leur application selon l’annexe 2 des GMP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5F5F5"/>
            <w:vAlign w:val="center"/>
            <w:hideMark/>
          </w:tcPr>
          <w:p w14:paraId="455C2501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2 </w:t>
            </w:r>
            <w:proofErr w:type="gram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jour</w:t>
            </w:r>
            <w:proofErr w:type="gram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(s)</w:t>
            </w:r>
          </w:p>
        </w:tc>
      </w:tr>
      <w:tr w:rsidR="00346CF4" w:rsidRPr="00346CF4" w14:paraId="65182C32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1E292C5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Comprendre la norme ISO 14644 révisée de décembre 2015 : impacts sur les plans de prélèvements et de surveillance de vos ZAC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1C257C24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45A6D721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B646010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méthodes rapides de microbiologie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4C64738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5C38DA12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2C97F823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gestion des risques dans les essais cliniques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D1726D0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3FDEB6A9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C12BC95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affaires réglementaires dans l’Union Eurasienne : Russie, Biélorussie, Kazakhstan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5D96404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  <w:tr w:rsidR="00346CF4" w:rsidRPr="00346CF4" w14:paraId="0BDD2B0E" w14:textId="77777777" w:rsidTr="00346CF4">
        <w:trPr>
          <w:trHeight w:val="570"/>
        </w:trPr>
        <w:tc>
          <w:tcPr>
            <w:tcW w:w="6401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5E1236A0" w14:textId="77777777" w:rsidR="00346CF4" w:rsidRPr="00346CF4" w:rsidRDefault="00346CF4" w:rsidP="00346CF4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Comment garantir la continuité de la « </w:t>
            </w:r>
            <w:proofErr w:type="spell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supply</w:t>
            </w:r>
            <w:proofErr w:type="spell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</w:t>
            </w:r>
            <w:proofErr w:type="spellStart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chain</w:t>
            </w:r>
            <w:proofErr w:type="spellEnd"/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 » pharmaceutique ? : actualités et évolutions de la réglementation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9F9F9"/>
            <w:vAlign w:val="center"/>
            <w:hideMark/>
          </w:tcPr>
          <w:p w14:paraId="7BC69208" w14:textId="77777777" w:rsidR="00346CF4" w:rsidRPr="00346CF4" w:rsidRDefault="00346CF4" w:rsidP="00346CF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346CF4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1 jour(s)</w:t>
            </w:r>
          </w:p>
        </w:tc>
      </w:tr>
    </w:tbl>
    <w:p w14:paraId="45FF0988" w14:textId="77777777" w:rsidR="001C5C0C" w:rsidRDefault="001C5C0C"/>
    <w:sectPr w:rsidR="001C5C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C2D2" w14:textId="77777777" w:rsidR="00AD2DAC" w:rsidRDefault="00AD2DAC" w:rsidP="00046A0F">
      <w:pPr>
        <w:spacing w:after="0" w:line="240" w:lineRule="auto"/>
      </w:pPr>
      <w:r>
        <w:separator/>
      </w:r>
    </w:p>
  </w:endnote>
  <w:endnote w:type="continuationSeparator" w:id="0">
    <w:p w14:paraId="0BB8430B" w14:textId="77777777" w:rsidR="00AD2DAC" w:rsidRDefault="00AD2DAC" w:rsidP="0004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DBA6" w14:textId="77777777" w:rsidR="00AD2DAC" w:rsidRDefault="00AD2DAC" w:rsidP="00046A0F">
      <w:pPr>
        <w:spacing w:after="0" w:line="240" w:lineRule="auto"/>
      </w:pPr>
      <w:r>
        <w:separator/>
      </w:r>
    </w:p>
  </w:footnote>
  <w:footnote w:type="continuationSeparator" w:id="0">
    <w:p w14:paraId="0BC85858" w14:textId="77777777" w:rsidR="00AD2DAC" w:rsidRDefault="00AD2DAC" w:rsidP="0004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51D4" w14:textId="7F28C535" w:rsidR="00046A0F" w:rsidRDefault="00046A0F">
    <w:pPr>
      <w:pStyle w:val="En-tte"/>
    </w:pPr>
    <w:r>
      <w:rPr>
        <w:noProof/>
      </w:rPr>
      <w:drawing>
        <wp:inline distT="0" distB="0" distL="0" distR="0" wp14:anchorId="5A227112" wp14:editId="1340FCFD">
          <wp:extent cx="2323322" cy="514350"/>
          <wp:effectExtent l="0" t="0" r="127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78" cy="51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0C"/>
    <w:rsid w:val="00046A0F"/>
    <w:rsid w:val="001C5C0C"/>
    <w:rsid w:val="00346CF4"/>
    <w:rsid w:val="00AD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7DCDE-68B0-4CE9-B474-BDF315FC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A0F"/>
  </w:style>
  <w:style w:type="paragraph" w:styleId="Pieddepage">
    <w:name w:val="footer"/>
    <w:basedOn w:val="Normal"/>
    <w:link w:val="PieddepageCar"/>
    <w:uiPriority w:val="99"/>
    <w:unhideWhenUsed/>
    <w:rsid w:val="0004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2024-01-15T15:19:00Z</dcterms:created>
  <dcterms:modified xsi:type="dcterms:W3CDTF">2024-01-15T15:42:00Z</dcterms:modified>
</cp:coreProperties>
</file>